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4C" w:rsidRPr="00BC7D79" w:rsidRDefault="000E1D42" w:rsidP="00BC7D79">
      <w:pPr>
        <w:jc w:val="center"/>
        <w:rPr>
          <w:b/>
          <w:szCs w:val="24"/>
        </w:rPr>
      </w:pPr>
      <w:bookmarkStart w:id="0" w:name="_GoBack"/>
      <w:bookmarkEnd w:id="0"/>
      <w:r w:rsidRPr="00BC7D79">
        <w:rPr>
          <w:b/>
          <w:szCs w:val="24"/>
        </w:rPr>
        <w:t xml:space="preserve">Primary Points of </w:t>
      </w:r>
      <w:r w:rsidR="00BC7D79" w:rsidRPr="00BC7D79">
        <w:rPr>
          <w:b/>
          <w:szCs w:val="24"/>
        </w:rPr>
        <w:t xml:space="preserve">2015 CoC </w:t>
      </w:r>
      <w:r w:rsidRPr="00BC7D79">
        <w:rPr>
          <w:b/>
          <w:szCs w:val="24"/>
        </w:rPr>
        <w:t>Registration Notice</w:t>
      </w:r>
    </w:p>
    <w:p w:rsidR="000E1D42" w:rsidRPr="00BC7D79" w:rsidRDefault="000E1D42" w:rsidP="00BC7D79">
      <w:pPr>
        <w:jc w:val="both"/>
        <w:rPr>
          <w:szCs w:val="24"/>
        </w:rPr>
      </w:pPr>
    </w:p>
    <w:p w:rsidR="00D27573" w:rsidRPr="00BC7D79" w:rsidRDefault="00D27573"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CoCs may use the reallocation process as stated in Section II.A.2.j. of this Notice to create: </w:t>
      </w:r>
    </w:p>
    <w:p w:rsidR="00D27573" w:rsidRPr="00BC7D79" w:rsidRDefault="00D27573" w:rsidP="00BC7D79">
      <w:pPr>
        <w:pStyle w:val="ListParagraph"/>
        <w:numPr>
          <w:ilvl w:val="1"/>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new permanent supportive housing projects that serve chronically homeless individuals and families, including unaccompanied youth; </w:t>
      </w:r>
    </w:p>
    <w:p w:rsidR="00D27573" w:rsidRPr="00BC7D79" w:rsidRDefault="00D27573" w:rsidP="00BC7D79">
      <w:pPr>
        <w:pStyle w:val="ListParagraph"/>
        <w:numPr>
          <w:ilvl w:val="1"/>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new rapid re-housing projects for homeless individuals and families, including unaccompanied youth, coming directly from the streets or emergency shelter or fleeing domestic violence; </w:t>
      </w:r>
    </w:p>
    <w:p w:rsidR="00D27573" w:rsidRPr="00BC7D79" w:rsidRDefault="00D27573" w:rsidP="00BC7D79">
      <w:pPr>
        <w:pStyle w:val="ListParagraph"/>
        <w:numPr>
          <w:ilvl w:val="1"/>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new projects for dedicated HMIS; </w:t>
      </w:r>
    </w:p>
    <w:p w:rsidR="00D27573" w:rsidRPr="00BC7D79" w:rsidRDefault="00D27573" w:rsidP="00BC7D79">
      <w:pPr>
        <w:pStyle w:val="ListParagraph"/>
        <w:numPr>
          <w:ilvl w:val="1"/>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or new Supportive Services Only (SSO) projects for centralized or coordinated assessment systems.</w:t>
      </w:r>
    </w:p>
    <w:p w:rsidR="00BC7D79" w:rsidRPr="00BC7D79" w:rsidRDefault="00BC7D79" w:rsidP="00BC7D79">
      <w:pPr>
        <w:autoSpaceDE w:val="0"/>
        <w:autoSpaceDN w:val="0"/>
        <w:adjustRightInd w:val="0"/>
        <w:jc w:val="both"/>
        <w:rPr>
          <w:rFonts w:cs="Times New Roman"/>
          <w:szCs w:val="24"/>
        </w:rPr>
      </w:pPr>
    </w:p>
    <w:p w:rsidR="00BC7D79" w:rsidRPr="00BC7D79" w:rsidRDefault="00BC7D79" w:rsidP="00BC7D79">
      <w:pPr>
        <w:pStyle w:val="ListParagraph"/>
        <w:numPr>
          <w:ilvl w:val="0"/>
          <w:numId w:val="3"/>
        </w:numPr>
        <w:autoSpaceDE w:val="0"/>
        <w:autoSpaceDN w:val="0"/>
        <w:adjustRightInd w:val="0"/>
        <w:jc w:val="both"/>
        <w:rPr>
          <w:rFonts w:cstheme="minorBidi"/>
          <w:sz w:val="24"/>
          <w:szCs w:val="24"/>
        </w:rPr>
      </w:pPr>
      <w:r w:rsidRPr="00BC7D79">
        <w:rPr>
          <w:sz w:val="24"/>
          <w:szCs w:val="24"/>
        </w:rPr>
        <w:t xml:space="preserve">HUD will continue the Tier 1 and Tier 2 funding process in the FY 2015 CoC Program Competition to promote a more competitive process between CoCs (no other details were provided). </w:t>
      </w:r>
    </w:p>
    <w:p w:rsidR="00BC7D79" w:rsidRPr="00BC7D79" w:rsidRDefault="00BC7D79" w:rsidP="00BC7D79">
      <w:pPr>
        <w:autoSpaceDE w:val="0"/>
        <w:autoSpaceDN w:val="0"/>
        <w:adjustRightInd w:val="0"/>
        <w:spacing w:line="240" w:lineRule="auto"/>
        <w:jc w:val="both"/>
        <w:rPr>
          <w:rFonts w:cs="Times New Roman"/>
          <w:szCs w:val="24"/>
        </w:rPr>
      </w:pPr>
    </w:p>
    <w:p w:rsidR="00BC7D79" w:rsidRPr="00BC7D79" w:rsidRDefault="00BC7D79" w:rsidP="00BC7D79">
      <w:pPr>
        <w:pStyle w:val="ListParagraph"/>
        <w:numPr>
          <w:ilvl w:val="0"/>
          <w:numId w:val="3"/>
        </w:numPr>
        <w:autoSpaceDE w:val="0"/>
        <w:autoSpaceDN w:val="0"/>
        <w:adjustRightInd w:val="0"/>
        <w:jc w:val="both"/>
        <w:rPr>
          <w:sz w:val="24"/>
          <w:szCs w:val="24"/>
        </w:rPr>
      </w:pPr>
      <w:r w:rsidRPr="00BC7D79">
        <w:rPr>
          <w:sz w:val="24"/>
          <w:szCs w:val="24"/>
        </w:rPr>
        <w:t>CoCs will also have the opportunity to apply for bonus projects (no other details were provided).</w:t>
      </w:r>
    </w:p>
    <w:p w:rsidR="00BC7D79" w:rsidRPr="00BC7D79" w:rsidRDefault="00BC7D79" w:rsidP="00BC7D79">
      <w:pPr>
        <w:autoSpaceDE w:val="0"/>
        <w:autoSpaceDN w:val="0"/>
        <w:adjustRightInd w:val="0"/>
        <w:spacing w:line="240" w:lineRule="auto"/>
        <w:jc w:val="both"/>
        <w:rPr>
          <w:rFonts w:cs="Times New Roman"/>
          <w:szCs w:val="24"/>
        </w:rPr>
      </w:pPr>
    </w:p>
    <w:p w:rsidR="00C374D4" w:rsidRPr="00BC7D79" w:rsidRDefault="00C374D4"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Collaborative Applicants may request CoC planning costs up to the full 3 percent or $1,250,000,</w:t>
      </w:r>
      <w:r w:rsidR="00D27573" w:rsidRPr="00BC7D79">
        <w:rPr>
          <w:rFonts w:asciiTheme="minorHAnsi" w:hAnsiTheme="minorHAnsi"/>
          <w:sz w:val="24"/>
          <w:szCs w:val="24"/>
        </w:rPr>
        <w:t xml:space="preserve"> </w:t>
      </w:r>
      <w:r w:rsidRPr="00BC7D79">
        <w:rPr>
          <w:rFonts w:asciiTheme="minorHAnsi" w:hAnsiTheme="minorHAnsi"/>
          <w:sz w:val="24"/>
          <w:szCs w:val="24"/>
        </w:rPr>
        <w:t>whichever is less, of the FY 2015 Final Pro Rata Need (FPRN).</w:t>
      </w:r>
    </w:p>
    <w:p w:rsidR="00C374D4" w:rsidRPr="00BC7D79" w:rsidRDefault="00C374D4" w:rsidP="00BC7D79">
      <w:pPr>
        <w:jc w:val="both"/>
        <w:rPr>
          <w:rFonts w:cs="Times New Roman"/>
          <w:szCs w:val="24"/>
        </w:rPr>
      </w:pPr>
    </w:p>
    <w:p w:rsidR="00C374D4" w:rsidRPr="00BC7D79" w:rsidRDefault="00C374D4"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Collaborative Applicants that are designated as UFAs in the FY 2015 CoC Registration may only request 1.50 percent of the FPRN or $500,000, whichever is less.</w:t>
      </w:r>
    </w:p>
    <w:p w:rsidR="00C374D4" w:rsidRPr="00BC7D79" w:rsidRDefault="00C374D4" w:rsidP="00BC7D79">
      <w:pPr>
        <w:pStyle w:val="ListParagraph"/>
        <w:numPr>
          <w:ilvl w:val="1"/>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UFA designation is only effective for 1 year as the UFA costs are non-renewable; therefore, Collaborative Applicants designated as a UFA in the FY 2014 registration process must re-apply for</w:t>
      </w:r>
      <w:r w:rsidR="00D27573" w:rsidRPr="00BC7D79">
        <w:rPr>
          <w:rFonts w:asciiTheme="minorHAnsi" w:hAnsiTheme="minorHAnsi"/>
          <w:sz w:val="24"/>
          <w:szCs w:val="24"/>
        </w:rPr>
        <w:t xml:space="preserve"> </w:t>
      </w:r>
      <w:r w:rsidRPr="00BC7D79">
        <w:rPr>
          <w:rFonts w:asciiTheme="minorHAnsi" w:hAnsiTheme="minorHAnsi"/>
          <w:sz w:val="24"/>
          <w:szCs w:val="24"/>
        </w:rPr>
        <w:t>designation in the FY 2015 registration process.</w:t>
      </w:r>
    </w:p>
    <w:p w:rsidR="00C374D4" w:rsidRPr="00BC7D79" w:rsidRDefault="00C374D4" w:rsidP="00BC7D79">
      <w:pPr>
        <w:jc w:val="both"/>
        <w:rPr>
          <w:szCs w:val="24"/>
        </w:rPr>
      </w:pPr>
    </w:p>
    <w:p w:rsidR="00C374D4" w:rsidRPr="00BC7D79" w:rsidRDefault="00C374D4"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i/>
          <w:iCs/>
          <w:sz w:val="24"/>
          <w:szCs w:val="24"/>
        </w:rPr>
        <w:t>Transitional Housing</w:t>
      </w:r>
      <w:r w:rsidRPr="00BC7D79">
        <w:rPr>
          <w:rFonts w:asciiTheme="minorHAnsi" w:hAnsiTheme="minorHAnsi"/>
          <w:sz w:val="24"/>
          <w:szCs w:val="24"/>
        </w:rPr>
        <w:t>. Recent research shows that transitional housing is</w:t>
      </w:r>
      <w:r w:rsidR="00D27573" w:rsidRPr="00BC7D79">
        <w:rPr>
          <w:rFonts w:asciiTheme="minorHAnsi" w:hAnsiTheme="minorHAnsi"/>
          <w:sz w:val="24"/>
          <w:szCs w:val="24"/>
        </w:rPr>
        <w:t xml:space="preserve"> </w:t>
      </w:r>
      <w:r w:rsidRPr="00BC7D79">
        <w:rPr>
          <w:rFonts w:asciiTheme="minorHAnsi" w:hAnsiTheme="minorHAnsi"/>
          <w:sz w:val="24"/>
          <w:szCs w:val="24"/>
        </w:rPr>
        <w:t>generally more expensive than other housing models serving similar populations</w:t>
      </w:r>
      <w:r w:rsidR="00D27573" w:rsidRPr="00BC7D79">
        <w:rPr>
          <w:rFonts w:asciiTheme="minorHAnsi" w:hAnsiTheme="minorHAnsi"/>
          <w:sz w:val="24"/>
          <w:szCs w:val="24"/>
        </w:rPr>
        <w:t xml:space="preserve"> </w:t>
      </w:r>
      <w:r w:rsidRPr="00BC7D79">
        <w:rPr>
          <w:rFonts w:asciiTheme="minorHAnsi" w:hAnsiTheme="minorHAnsi"/>
          <w:sz w:val="24"/>
          <w:szCs w:val="24"/>
        </w:rPr>
        <w:t>with similar outcomes. HUD also recognizes that transitional housing can be an</w:t>
      </w:r>
      <w:r w:rsidR="00D27573" w:rsidRPr="00BC7D79">
        <w:rPr>
          <w:rFonts w:asciiTheme="minorHAnsi" w:hAnsiTheme="minorHAnsi"/>
          <w:sz w:val="24"/>
          <w:szCs w:val="24"/>
        </w:rPr>
        <w:t xml:space="preserve"> </w:t>
      </w:r>
      <w:r w:rsidRPr="00BC7D79">
        <w:rPr>
          <w:rFonts w:asciiTheme="minorHAnsi" w:hAnsiTheme="minorHAnsi"/>
          <w:sz w:val="24"/>
          <w:szCs w:val="24"/>
        </w:rPr>
        <w:t>effective tool for addressing certain needs–such as housing for homeless youth</w:t>
      </w:r>
      <w:r w:rsidR="00D27573" w:rsidRPr="00BC7D79">
        <w:rPr>
          <w:rFonts w:asciiTheme="minorHAnsi" w:hAnsiTheme="minorHAnsi"/>
          <w:sz w:val="24"/>
          <w:szCs w:val="24"/>
        </w:rPr>
        <w:t xml:space="preserve"> </w:t>
      </w:r>
      <w:r w:rsidRPr="00BC7D79">
        <w:rPr>
          <w:rFonts w:asciiTheme="minorHAnsi" w:hAnsiTheme="minorHAnsi"/>
          <w:sz w:val="24"/>
          <w:szCs w:val="24"/>
        </w:rPr>
        <w:t>who are unable to sign a lease, safety for persons fleeing domestic violence, and</w:t>
      </w:r>
      <w:r w:rsidR="00D27573" w:rsidRPr="00BC7D79">
        <w:rPr>
          <w:rFonts w:asciiTheme="minorHAnsi" w:hAnsiTheme="minorHAnsi"/>
          <w:sz w:val="24"/>
          <w:szCs w:val="24"/>
        </w:rPr>
        <w:t xml:space="preserve"> </w:t>
      </w:r>
      <w:r w:rsidRPr="00BC7D79">
        <w:rPr>
          <w:rFonts w:asciiTheme="minorHAnsi" w:hAnsiTheme="minorHAnsi"/>
          <w:sz w:val="24"/>
          <w:szCs w:val="24"/>
        </w:rPr>
        <w:t>assistance with recovery from addiction. HUD strongly encourages CoCs and recipients to carefully review the transitional housing projects within the CoC’s</w:t>
      </w:r>
      <w:r w:rsidR="00D27573" w:rsidRPr="00BC7D79">
        <w:rPr>
          <w:rFonts w:asciiTheme="minorHAnsi" w:hAnsiTheme="minorHAnsi"/>
          <w:sz w:val="24"/>
          <w:szCs w:val="24"/>
        </w:rPr>
        <w:t xml:space="preserve"> </w:t>
      </w:r>
      <w:r w:rsidRPr="00BC7D79">
        <w:rPr>
          <w:rFonts w:asciiTheme="minorHAnsi" w:hAnsiTheme="minorHAnsi"/>
          <w:sz w:val="24"/>
          <w:szCs w:val="24"/>
        </w:rPr>
        <w:t>geographic area for cost-effectiveness, performance, and for the number and type</w:t>
      </w:r>
      <w:r w:rsidR="00BC7D79" w:rsidRPr="00BC7D79">
        <w:rPr>
          <w:rFonts w:asciiTheme="minorHAnsi" w:hAnsiTheme="minorHAnsi"/>
          <w:sz w:val="24"/>
          <w:szCs w:val="24"/>
        </w:rPr>
        <w:t xml:space="preserve"> </w:t>
      </w:r>
      <w:r w:rsidRPr="00BC7D79">
        <w:rPr>
          <w:rFonts w:asciiTheme="minorHAnsi" w:hAnsiTheme="minorHAnsi"/>
          <w:sz w:val="24"/>
          <w:szCs w:val="24"/>
        </w:rPr>
        <w:t>of eligibility criteria to determine if rapid re-housing might be a better model for</w:t>
      </w:r>
      <w:r w:rsidR="00D27573" w:rsidRPr="00BC7D79">
        <w:rPr>
          <w:rFonts w:asciiTheme="minorHAnsi" w:hAnsiTheme="minorHAnsi"/>
          <w:sz w:val="24"/>
          <w:szCs w:val="24"/>
        </w:rPr>
        <w:t xml:space="preserve"> </w:t>
      </w:r>
      <w:r w:rsidRPr="00BC7D79">
        <w:rPr>
          <w:rFonts w:asciiTheme="minorHAnsi" w:hAnsiTheme="minorHAnsi"/>
          <w:sz w:val="24"/>
          <w:szCs w:val="24"/>
        </w:rPr>
        <w:t>the CoC’s geographic area.</w:t>
      </w:r>
    </w:p>
    <w:p w:rsidR="00C374D4" w:rsidRPr="00BC7D79" w:rsidRDefault="00C374D4" w:rsidP="00BC7D79">
      <w:pPr>
        <w:jc w:val="both"/>
        <w:rPr>
          <w:rFonts w:cs="Times New Roman"/>
          <w:szCs w:val="24"/>
        </w:rPr>
      </w:pPr>
    </w:p>
    <w:p w:rsidR="00C374D4" w:rsidRPr="00BC7D79" w:rsidRDefault="00D27573"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CoC Program-funded projects should, to the extent possible, prioritize veterans and their families who are ineligible for Department of Veterans Affairs (VA) services. When it is determined that a veteran, and their family, is ineligible for VA housing and services </w:t>
      </w:r>
      <w:r w:rsidRPr="00BC7D79">
        <w:rPr>
          <w:rFonts w:asciiTheme="minorHAnsi" w:hAnsiTheme="minorHAnsi"/>
          <w:sz w:val="24"/>
          <w:szCs w:val="24"/>
        </w:rPr>
        <w:lastRenderedPageBreak/>
        <w:t>has the same level of need as a non-veteran as determined using a standardized assessment tool, the veteran should receive priority.</w:t>
      </w:r>
    </w:p>
    <w:p w:rsidR="00D27573" w:rsidRPr="00BC7D79" w:rsidRDefault="00D27573" w:rsidP="00BC7D79">
      <w:pPr>
        <w:jc w:val="both"/>
        <w:rPr>
          <w:rFonts w:cs="Times New Roman"/>
          <w:szCs w:val="24"/>
        </w:rPr>
      </w:pPr>
    </w:p>
    <w:p w:rsidR="00D27573" w:rsidRPr="00BC7D79" w:rsidRDefault="00D27573" w:rsidP="00BC7D79">
      <w:pPr>
        <w:pStyle w:val="ListParagraph"/>
        <w:numPr>
          <w:ilvl w:val="0"/>
          <w:numId w:val="3"/>
        </w:numPr>
        <w:autoSpaceDE w:val="0"/>
        <w:autoSpaceDN w:val="0"/>
        <w:adjustRightInd w:val="0"/>
        <w:jc w:val="both"/>
        <w:rPr>
          <w:rFonts w:asciiTheme="minorHAnsi" w:hAnsiTheme="minorHAnsi"/>
          <w:sz w:val="24"/>
          <w:szCs w:val="24"/>
        </w:rPr>
      </w:pPr>
      <w:r w:rsidRPr="00BC7D79">
        <w:rPr>
          <w:rFonts w:asciiTheme="minorHAnsi" w:hAnsiTheme="minorHAnsi"/>
          <w:sz w:val="24"/>
          <w:szCs w:val="24"/>
        </w:rPr>
        <w:t xml:space="preserve">CoCs will be required to rank all projects submitted by project applicants in </w:t>
      </w:r>
      <w:r w:rsidRPr="00BC7D79">
        <w:rPr>
          <w:rFonts w:asciiTheme="minorHAnsi" w:hAnsiTheme="minorHAnsi"/>
          <w:i/>
          <w:iCs/>
          <w:sz w:val="24"/>
          <w:szCs w:val="24"/>
        </w:rPr>
        <w:t>e-snaps</w:t>
      </w:r>
      <w:r w:rsidRPr="00BC7D79">
        <w:rPr>
          <w:rFonts w:asciiTheme="minorHAnsi" w:hAnsiTheme="minorHAnsi"/>
          <w:sz w:val="24"/>
          <w:szCs w:val="24"/>
        </w:rPr>
        <w:t>–</w:t>
      </w:r>
      <w:r w:rsidRPr="00BC7D79">
        <w:rPr>
          <w:rFonts w:asciiTheme="minorHAnsi" w:hAnsiTheme="minorHAnsi"/>
          <w:b/>
          <w:bCs/>
          <w:sz w:val="24"/>
          <w:szCs w:val="24"/>
        </w:rPr>
        <w:t>except project applications for CoC planning and UFA Costs–</w:t>
      </w:r>
      <w:r w:rsidRPr="00BC7D79">
        <w:rPr>
          <w:rFonts w:asciiTheme="minorHAnsi" w:hAnsiTheme="minorHAnsi"/>
          <w:sz w:val="24"/>
          <w:szCs w:val="24"/>
        </w:rPr>
        <w:t>including: renewal and new projects created through reallocation, new bonus projects, and new homelessness prevention projects created by designated HPC(s).</w:t>
      </w:r>
    </w:p>
    <w:p w:rsidR="00C374D4" w:rsidRPr="00BC7D79" w:rsidRDefault="00C374D4" w:rsidP="00BC7D79">
      <w:pPr>
        <w:jc w:val="both"/>
        <w:rPr>
          <w:szCs w:val="24"/>
        </w:rPr>
      </w:pPr>
    </w:p>
    <w:p w:rsidR="000E1D42" w:rsidRPr="009B08E5" w:rsidRDefault="000E1D42" w:rsidP="009B08E5">
      <w:pPr>
        <w:pStyle w:val="ListParagraph"/>
        <w:numPr>
          <w:ilvl w:val="0"/>
          <w:numId w:val="3"/>
        </w:numPr>
        <w:jc w:val="both"/>
        <w:rPr>
          <w:rFonts w:asciiTheme="minorHAnsi" w:hAnsiTheme="minorHAnsi"/>
          <w:sz w:val="24"/>
          <w:szCs w:val="24"/>
        </w:rPr>
      </w:pPr>
      <w:r w:rsidRPr="009B08E5">
        <w:rPr>
          <w:rFonts w:asciiTheme="minorHAnsi" w:hAnsiTheme="minorHAnsi"/>
          <w:sz w:val="24"/>
          <w:szCs w:val="24"/>
        </w:rPr>
        <w:t>This year HUD is rolling out the High Performing Communities (HPC) designation, which is required in the HEARTH Act but to date has not been implemented.  The Registration Notice spells out what criteria are required to be designated as an HPC.  Criteria include such things as having a mean length of homelessness of fewer than 20 days, 5% rate of return to homelessness, full expenditure of past grants, and others factors.  Communities designated as HPCs are allowed to use CoC funds for prevention activities for people at-risk of homelessness.</w:t>
      </w:r>
    </w:p>
    <w:p w:rsidR="00BC7D79" w:rsidRPr="009B08E5" w:rsidRDefault="00BC7D79" w:rsidP="009B08E5">
      <w:pPr>
        <w:pStyle w:val="ListParagraph"/>
        <w:jc w:val="both"/>
        <w:rPr>
          <w:rFonts w:asciiTheme="minorHAnsi" w:hAnsiTheme="minorHAnsi"/>
          <w:sz w:val="24"/>
          <w:szCs w:val="24"/>
        </w:rPr>
      </w:pPr>
    </w:p>
    <w:p w:rsidR="000E1D42" w:rsidRPr="006E60E9" w:rsidRDefault="000E1D42" w:rsidP="00BC7D79">
      <w:pPr>
        <w:pStyle w:val="ListParagraph"/>
        <w:numPr>
          <w:ilvl w:val="0"/>
          <w:numId w:val="3"/>
        </w:numPr>
        <w:autoSpaceDE w:val="0"/>
        <w:autoSpaceDN w:val="0"/>
        <w:adjustRightInd w:val="0"/>
        <w:jc w:val="both"/>
        <w:rPr>
          <w:rFonts w:asciiTheme="minorHAnsi" w:hAnsiTheme="minorHAnsi"/>
          <w:sz w:val="24"/>
          <w:szCs w:val="24"/>
        </w:rPr>
      </w:pPr>
      <w:r w:rsidRPr="009B08E5">
        <w:rPr>
          <w:rFonts w:asciiTheme="minorHAnsi" w:hAnsiTheme="minorHAnsi"/>
          <w:sz w:val="24"/>
          <w:szCs w:val="24"/>
        </w:rPr>
        <w:t>The process for designating HPCs could impact the timing for release of the NOFA, because there is a required public comment period.  As per the Registration Notice, communities must submit their documentation in support of their request for HPC status by May 18</w:t>
      </w:r>
      <w:r w:rsidRPr="009B08E5">
        <w:rPr>
          <w:rFonts w:asciiTheme="minorHAnsi" w:hAnsiTheme="minorHAnsi"/>
          <w:sz w:val="24"/>
          <w:szCs w:val="24"/>
          <w:vertAlign w:val="superscript"/>
        </w:rPr>
        <w:t>th</w:t>
      </w:r>
      <w:r w:rsidRPr="009B08E5">
        <w:rPr>
          <w:rFonts w:asciiTheme="minorHAnsi" w:hAnsiTheme="minorHAnsi"/>
          <w:sz w:val="24"/>
          <w:szCs w:val="24"/>
        </w:rPr>
        <w:t xml:space="preserve">.  HUD will post these materials for public comment with comments due back </w:t>
      </w:r>
      <w:r w:rsidR="00BC7D79" w:rsidRPr="009B08E5">
        <w:rPr>
          <w:rFonts w:asciiTheme="minorHAnsi" w:hAnsiTheme="minorHAnsi"/>
          <w:sz w:val="24"/>
          <w:szCs w:val="24"/>
        </w:rPr>
        <w:t xml:space="preserve">to HUD </w:t>
      </w:r>
      <w:r w:rsidRPr="009B08E5">
        <w:rPr>
          <w:rFonts w:asciiTheme="minorHAnsi" w:hAnsiTheme="minorHAnsi"/>
          <w:sz w:val="24"/>
          <w:szCs w:val="24"/>
        </w:rPr>
        <w:t>by May 27. </w:t>
      </w:r>
      <w:r w:rsidR="009B08E5" w:rsidRPr="009B08E5">
        <w:rPr>
          <w:rFonts w:asciiTheme="minorHAnsi" w:hAnsiTheme="minorHAnsi"/>
          <w:sz w:val="24"/>
          <w:szCs w:val="24"/>
        </w:rPr>
        <w:t xml:space="preserve">At the conclusion of the comment period, HUD will compile all of the timely comments received and email the comments to the Primary and Secondary Contacts designated for the Collaborative Applicant in the CoC Applicant Profile in </w:t>
      </w:r>
      <w:r w:rsidR="009B08E5" w:rsidRPr="009B08E5">
        <w:rPr>
          <w:rFonts w:asciiTheme="minorHAnsi" w:hAnsiTheme="minorHAnsi"/>
          <w:i/>
          <w:iCs/>
          <w:sz w:val="24"/>
          <w:szCs w:val="24"/>
        </w:rPr>
        <w:t>e-snaps</w:t>
      </w:r>
      <w:r w:rsidR="009B08E5" w:rsidRPr="009B08E5">
        <w:rPr>
          <w:rFonts w:asciiTheme="minorHAnsi" w:hAnsiTheme="minorHAnsi"/>
          <w:sz w:val="24"/>
          <w:szCs w:val="24"/>
        </w:rPr>
        <w:t>. Therefore, it is extremely important that Collaborative Applicants, and the CoC, ensure this contact information is accurate. The Collaborative Applicant will have 5 days to provide any information to HUD in response to the comments by June 3.</w:t>
      </w:r>
      <w:r w:rsidRPr="009B08E5">
        <w:rPr>
          <w:rFonts w:asciiTheme="minorHAnsi" w:hAnsiTheme="minorHAnsi"/>
          <w:sz w:val="24"/>
          <w:szCs w:val="24"/>
        </w:rPr>
        <w:t xml:space="preserve"> HUD will make a final determination by an unspecified date.  Although it is not spelled out in the Notice, it is not likely the NOFA can come out until after the HPC designation process is complete, since the HPC status impacts what types of funds applicants can app</w:t>
      </w:r>
      <w:r w:rsidR="006E60E9">
        <w:rPr>
          <w:rFonts w:asciiTheme="minorHAnsi" w:hAnsiTheme="minorHAnsi"/>
          <w:sz w:val="24"/>
          <w:szCs w:val="24"/>
        </w:rPr>
        <w:t xml:space="preserve">ly for. </w:t>
      </w:r>
    </w:p>
    <w:sectPr w:rsidR="000E1D42" w:rsidRPr="006E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6AA"/>
    <w:multiLevelType w:val="hybridMultilevel"/>
    <w:tmpl w:val="E0967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5B0699"/>
    <w:multiLevelType w:val="hybridMultilevel"/>
    <w:tmpl w:val="B45A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A7D38"/>
    <w:multiLevelType w:val="hybridMultilevel"/>
    <w:tmpl w:val="B45A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666B4"/>
    <w:multiLevelType w:val="hybridMultilevel"/>
    <w:tmpl w:val="868AC9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42"/>
    <w:rsid w:val="00087A0C"/>
    <w:rsid w:val="000E1D42"/>
    <w:rsid w:val="003540D9"/>
    <w:rsid w:val="0037243F"/>
    <w:rsid w:val="004865AE"/>
    <w:rsid w:val="006E60E9"/>
    <w:rsid w:val="009B08E5"/>
    <w:rsid w:val="00BC7D79"/>
    <w:rsid w:val="00C374D4"/>
    <w:rsid w:val="00D27573"/>
    <w:rsid w:val="00DB04B4"/>
    <w:rsid w:val="00E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42"/>
    <w:pPr>
      <w:spacing w:line="240" w:lineRule="auto"/>
      <w:ind w:left="720"/>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42"/>
    <w:pPr>
      <w:spacing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User</cp:lastModifiedBy>
  <cp:revision>2</cp:revision>
  <dcterms:created xsi:type="dcterms:W3CDTF">2015-06-20T05:53:00Z</dcterms:created>
  <dcterms:modified xsi:type="dcterms:W3CDTF">2015-06-20T05:53:00Z</dcterms:modified>
</cp:coreProperties>
</file>